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7A65" w14:textId="77777777" w:rsidR="00CA785E" w:rsidRPr="00384D6D" w:rsidRDefault="00CA785E" w:rsidP="00CA785E">
      <w:pPr>
        <w:ind w:left="851" w:hanging="851"/>
        <w:rPr>
          <w:b/>
          <w:sz w:val="28"/>
        </w:rPr>
      </w:pPr>
      <w:r w:rsidRPr="00384D6D">
        <w:rPr>
          <w:b/>
          <w:sz w:val="28"/>
        </w:rPr>
        <w:t>GLOMERULUSTEN SUODATUSNOPEUDEN MITTAUS, GFR</w:t>
      </w:r>
    </w:p>
    <w:p w14:paraId="13032A91" w14:textId="77777777" w:rsidR="00CA785E" w:rsidRPr="00384D6D" w:rsidRDefault="00CA785E" w:rsidP="00CA785E">
      <w:pPr>
        <w:ind w:left="851" w:hanging="851"/>
        <w:rPr>
          <w:b/>
          <w:sz w:val="28"/>
        </w:rPr>
      </w:pPr>
      <w:r w:rsidRPr="00384D6D">
        <w:rPr>
          <w:b/>
          <w:sz w:val="28"/>
        </w:rPr>
        <w:t>KA1MN</w:t>
      </w:r>
    </w:p>
    <w:p w14:paraId="7B84C727" w14:textId="77777777" w:rsidR="00CA785E" w:rsidRPr="00384D6D" w:rsidRDefault="00CA785E" w:rsidP="00CA785E"/>
    <w:p w14:paraId="2FD91223" w14:textId="77777777" w:rsidR="00CA785E" w:rsidRPr="00504739" w:rsidRDefault="00CA785E" w:rsidP="00CA785E">
      <w:pPr>
        <w:ind w:left="851" w:hanging="851"/>
      </w:pPr>
      <w:r w:rsidRPr="00504739">
        <w:t>PERIAATE</w:t>
      </w:r>
    </w:p>
    <w:p w14:paraId="3599A301" w14:textId="77777777" w:rsidR="00CA785E" w:rsidRPr="00504739" w:rsidRDefault="00CA785E" w:rsidP="00CA785E">
      <w:pPr>
        <w:ind w:left="851" w:hanging="851"/>
      </w:pPr>
      <w:r w:rsidRPr="00504739">
        <w:tab/>
      </w:r>
      <w:r w:rsidRPr="00504739">
        <w:rPr>
          <w:vertAlign w:val="superscript"/>
        </w:rPr>
        <w:t>99m</w:t>
      </w:r>
      <w:r w:rsidRPr="00504739">
        <w:t xml:space="preserve">Tc-DTPA on radioaktiivisella teknetiumilla merkitty </w:t>
      </w:r>
      <w:proofErr w:type="spellStart"/>
      <w:r w:rsidRPr="00504739">
        <w:t>kelaatti</w:t>
      </w:r>
      <w:proofErr w:type="spellEnd"/>
      <w:r w:rsidRPr="00504739">
        <w:t xml:space="preserve">, joka erittyy munuaisista pelkästään </w:t>
      </w:r>
      <w:proofErr w:type="spellStart"/>
      <w:r w:rsidRPr="00504739">
        <w:t>glomerulussuodatuksen</w:t>
      </w:r>
      <w:proofErr w:type="spellEnd"/>
      <w:r w:rsidRPr="00504739">
        <w:t xml:space="preserve"> kautta. </w:t>
      </w:r>
      <w:proofErr w:type="spellStart"/>
      <w:r w:rsidRPr="00504739">
        <w:t>Glomerulusten</w:t>
      </w:r>
      <w:proofErr w:type="spellEnd"/>
      <w:r w:rsidRPr="00504739">
        <w:t xml:space="preserve"> suodatusnopeus (GFR) voidaan määrittää seuraamalla </w:t>
      </w:r>
      <w:r w:rsidRPr="00504739">
        <w:rPr>
          <w:vertAlign w:val="superscript"/>
        </w:rPr>
        <w:t>99m</w:t>
      </w:r>
      <w:r w:rsidRPr="00504739">
        <w:t xml:space="preserve">Tc-DTPA:n häviämistä verenkierrosta </w:t>
      </w:r>
      <w:r>
        <w:t>eri aikoina</w:t>
      </w:r>
      <w:r w:rsidRPr="00504739">
        <w:t xml:space="preserve"> otettujen veri</w:t>
      </w:r>
      <w:r w:rsidRPr="00504739">
        <w:softHyphen/>
        <w:t>näytteiden avulla.</w:t>
      </w:r>
    </w:p>
    <w:p w14:paraId="620F327B" w14:textId="77777777" w:rsidR="00CA785E" w:rsidRPr="00504739" w:rsidRDefault="00CA785E" w:rsidP="00CA785E">
      <w:pPr>
        <w:ind w:left="851" w:hanging="851"/>
      </w:pPr>
    </w:p>
    <w:p w14:paraId="7C107FB5" w14:textId="77777777" w:rsidR="00CA785E" w:rsidRPr="00504739" w:rsidRDefault="00CA785E" w:rsidP="00CA785E">
      <w:pPr>
        <w:ind w:left="851" w:hanging="851"/>
      </w:pPr>
      <w:r w:rsidRPr="00504739">
        <w:t>INDIKAATIOT</w:t>
      </w:r>
    </w:p>
    <w:p w14:paraId="20003998" w14:textId="77777777" w:rsidR="00CA785E" w:rsidRPr="00504739" w:rsidRDefault="00CA785E" w:rsidP="00CA785E">
      <w:pPr>
        <w:ind w:left="851" w:hanging="851"/>
      </w:pPr>
      <w:r w:rsidRPr="00504739">
        <w:tab/>
        <w:t xml:space="preserve">Munuaisten </w:t>
      </w:r>
      <w:proofErr w:type="spellStart"/>
      <w:r w:rsidRPr="00504739">
        <w:t>glomerulusten</w:t>
      </w:r>
      <w:proofErr w:type="spellEnd"/>
      <w:r w:rsidRPr="00504739">
        <w:t xml:space="preserve"> suodatusnopeuden mittaus (GFR).</w:t>
      </w:r>
    </w:p>
    <w:p w14:paraId="43AE32FE" w14:textId="77777777" w:rsidR="00CA785E" w:rsidRPr="00504739" w:rsidRDefault="00CA785E" w:rsidP="00CA785E">
      <w:pPr>
        <w:ind w:left="851" w:hanging="851"/>
      </w:pPr>
    </w:p>
    <w:p w14:paraId="0CE70BA6" w14:textId="77777777" w:rsidR="00CA785E" w:rsidRPr="00504739" w:rsidRDefault="00CA785E" w:rsidP="00CA785E">
      <w:pPr>
        <w:ind w:left="851" w:hanging="851"/>
      </w:pPr>
      <w:r w:rsidRPr="00504739">
        <w:t>KONTRAINDIKAATIOT</w:t>
      </w:r>
    </w:p>
    <w:p w14:paraId="16B69CD3" w14:textId="77777777" w:rsidR="00CA785E" w:rsidRPr="00B54662" w:rsidRDefault="00CA785E" w:rsidP="00CA785E">
      <w:pPr>
        <w:ind w:left="851"/>
        <w:rPr>
          <w:rStyle w:val="Hyperlinkki"/>
          <w:rFonts w:eastAsiaTheme="majorEastAsia"/>
        </w:rPr>
      </w:pPr>
      <w:r w:rsidRPr="00467393">
        <w:t>Raskaus suhteellinen, ks.</w:t>
      </w:r>
      <w:r>
        <w:t xml:space="preserve"> Isotooppitutkimuksiin liittyviä yleisohjeita:</w:t>
      </w:r>
      <w:r w:rsidRPr="00467393">
        <w:t xml:space="preserve"> </w:t>
      </w:r>
      <w:r>
        <w:fldChar w:fldCharType="begin"/>
      </w:r>
      <w:r>
        <w:instrText xml:space="preserve"> HYPERLINK "https://intra.oysnet.ppshp.fi/dokumentit/_layouts/15/WopiFrame.aspx?sourcedoc=%7beae31f1e-88d6-46ce-9ab4-7882f83ad453%7d&amp;action=default" </w:instrText>
      </w:r>
      <w:r>
        <w:fldChar w:fldCharType="separate"/>
      </w:r>
      <w:r w:rsidRPr="00B54662">
        <w:rPr>
          <w:rStyle w:val="Hyperlinkki"/>
          <w:rFonts w:eastAsiaTheme="majorEastAsia"/>
        </w:rPr>
        <w:t>Syntymättömien ja vastasyntyneiden lasten suojeleminen vanhempien altistuessa säteilylle isotooppitutkimusten tai -hoitojen yhteydessä: Tut</w:t>
      </w:r>
      <w:r w:rsidRPr="00B54662">
        <w:rPr>
          <w:rStyle w:val="Hyperlinkki"/>
          <w:rFonts w:eastAsiaTheme="majorEastAsia"/>
        </w:rPr>
        <w:softHyphen/>
        <w:t>kimusten ja hoitojen ajoitus fertiili-ikäisillä naisilla.</w:t>
      </w:r>
    </w:p>
    <w:p w14:paraId="76AB02FF" w14:textId="77777777" w:rsidR="00CA785E" w:rsidRPr="00504739" w:rsidRDefault="00CA785E" w:rsidP="00CA785E">
      <w:pPr>
        <w:ind w:left="851" w:hanging="851"/>
      </w:pPr>
      <w:r>
        <w:fldChar w:fldCharType="end"/>
      </w:r>
    </w:p>
    <w:p w14:paraId="199EE142" w14:textId="77777777" w:rsidR="00CA785E" w:rsidRPr="00504739" w:rsidRDefault="00CA785E" w:rsidP="00CA785E">
      <w:pPr>
        <w:ind w:left="851" w:hanging="851"/>
      </w:pPr>
      <w:r w:rsidRPr="00504739">
        <w:t>RADIOLÄÄKE, VALMISTUS</w:t>
      </w:r>
    </w:p>
    <w:p w14:paraId="7F3454C0" w14:textId="77777777" w:rsidR="00CA785E" w:rsidRPr="00504739" w:rsidRDefault="00CA785E" w:rsidP="00CA785E">
      <w:pPr>
        <w:ind w:left="851" w:hanging="851"/>
      </w:pPr>
      <w:r w:rsidRPr="00504739">
        <w:tab/>
      </w:r>
      <w:r w:rsidRPr="00504739">
        <w:rPr>
          <w:vertAlign w:val="superscript"/>
        </w:rPr>
        <w:t>99m</w:t>
      </w:r>
      <w:r w:rsidRPr="00504739">
        <w:t>Tc-DTPA, ks</w:t>
      </w:r>
      <w:r w:rsidRPr="004A38EB">
        <w:t xml:space="preserve">. </w:t>
      </w:r>
      <w:r>
        <w:t>IBC-NM -ohjelma</w:t>
      </w:r>
      <w:r w:rsidRPr="00504739">
        <w:t>.</w:t>
      </w:r>
    </w:p>
    <w:p w14:paraId="15A4374C" w14:textId="77777777" w:rsidR="00CA785E" w:rsidRPr="00504739" w:rsidRDefault="00CA785E" w:rsidP="00CA785E">
      <w:pPr>
        <w:ind w:left="851" w:hanging="851"/>
      </w:pPr>
    </w:p>
    <w:p w14:paraId="57EA27AA" w14:textId="77777777" w:rsidR="00CA785E" w:rsidRPr="00947C90" w:rsidRDefault="00CA785E" w:rsidP="00CA785E">
      <w:pPr>
        <w:ind w:left="851" w:hanging="851"/>
      </w:pPr>
      <w:r w:rsidRPr="00504739">
        <w:t>ANNOS</w:t>
      </w:r>
    </w:p>
    <w:tbl>
      <w:tblPr>
        <w:tblStyle w:val="TaulukkoRuudukko"/>
        <w:tblW w:w="0" w:type="auto"/>
        <w:tblInd w:w="944" w:type="dxa"/>
        <w:tblLook w:val="04A0" w:firstRow="1" w:lastRow="0" w:firstColumn="1" w:lastColumn="0" w:noHBand="0" w:noVBand="1"/>
      </w:tblPr>
      <w:tblGrid>
        <w:gridCol w:w="3780"/>
        <w:gridCol w:w="2609"/>
        <w:gridCol w:w="2295"/>
      </w:tblGrid>
      <w:tr w:rsidR="00CA785E" w:rsidRPr="00F504A9" w14:paraId="7A56206C" w14:textId="77777777" w:rsidTr="00292CD0">
        <w:trPr>
          <w:trHeight w:val="304"/>
        </w:trPr>
        <w:tc>
          <w:tcPr>
            <w:tcW w:w="3783" w:type="dxa"/>
          </w:tcPr>
          <w:p w14:paraId="4D00826B" w14:textId="77777777" w:rsidR="00CA785E" w:rsidRPr="00F504A9" w:rsidRDefault="00CA785E" w:rsidP="00292CD0"/>
        </w:tc>
        <w:tc>
          <w:tcPr>
            <w:tcW w:w="2611" w:type="dxa"/>
          </w:tcPr>
          <w:p w14:paraId="27981EA9" w14:textId="77777777" w:rsidR="00CA785E" w:rsidRPr="00F504A9" w:rsidRDefault="00CA785E" w:rsidP="00292CD0">
            <w:r>
              <w:rPr>
                <w:vertAlign w:val="superscript"/>
              </w:rPr>
              <w:t xml:space="preserve"> </w:t>
            </w:r>
            <w:r w:rsidRPr="00504739">
              <w:rPr>
                <w:vertAlign w:val="superscript"/>
              </w:rPr>
              <w:t>99m</w:t>
            </w:r>
            <w:r w:rsidRPr="00504739">
              <w:t>Tc-DTPA</w:t>
            </w:r>
            <w:r>
              <w:t xml:space="preserve"> -potilasannos</w:t>
            </w:r>
          </w:p>
        </w:tc>
        <w:tc>
          <w:tcPr>
            <w:tcW w:w="2297" w:type="dxa"/>
          </w:tcPr>
          <w:p w14:paraId="11DD006E" w14:textId="77777777" w:rsidR="00CA785E" w:rsidRDefault="00CA785E" w:rsidP="00292CD0">
            <w:r w:rsidRPr="00504739">
              <w:rPr>
                <w:vertAlign w:val="superscript"/>
              </w:rPr>
              <w:t>99m</w:t>
            </w:r>
            <w:r w:rsidRPr="00504739">
              <w:t>Tc-DTPA</w:t>
            </w:r>
            <w:r>
              <w:t xml:space="preserve"> –</w:t>
            </w:r>
          </w:p>
          <w:p w14:paraId="666636ED" w14:textId="77777777" w:rsidR="00CA785E" w:rsidRPr="00F504A9" w:rsidRDefault="00CA785E" w:rsidP="00292CD0">
            <w:r>
              <w:t>St-annos</w:t>
            </w:r>
          </w:p>
        </w:tc>
      </w:tr>
      <w:tr w:rsidR="00CA785E" w:rsidRPr="00F504A9" w14:paraId="1924AC3B" w14:textId="77777777" w:rsidTr="00292CD0">
        <w:trPr>
          <w:trHeight w:val="289"/>
        </w:trPr>
        <w:tc>
          <w:tcPr>
            <w:tcW w:w="3783" w:type="dxa"/>
          </w:tcPr>
          <w:p w14:paraId="5526D8E0" w14:textId="77777777" w:rsidR="00CA785E" w:rsidRPr="00F504A9" w:rsidRDefault="00CA785E" w:rsidP="00292CD0">
            <w:r w:rsidRPr="00F504A9">
              <w:t xml:space="preserve">Vauvat </w:t>
            </w:r>
            <w:r>
              <w:t>alle 1 vuotta</w:t>
            </w:r>
          </w:p>
        </w:tc>
        <w:tc>
          <w:tcPr>
            <w:tcW w:w="2611" w:type="dxa"/>
          </w:tcPr>
          <w:p w14:paraId="4E5AFD23" w14:textId="77777777" w:rsidR="00CA785E" w:rsidRPr="00F504A9" w:rsidRDefault="00CA785E" w:rsidP="00292CD0">
            <w:r>
              <w:t>15 MBq</w:t>
            </w:r>
          </w:p>
        </w:tc>
        <w:tc>
          <w:tcPr>
            <w:tcW w:w="2297" w:type="dxa"/>
          </w:tcPr>
          <w:p w14:paraId="13AE19E9" w14:textId="77777777" w:rsidR="00CA785E" w:rsidRPr="00F504A9" w:rsidRDefault="00CA785E" w:rsidP="00292CD0">
            <w:r>
              <w:t>37 MBq</w:t>
            </w:r>
          </w:p>
        </w:tc>
      </w:tr>
      <w:tr w:rsidR="00CA785E" w:rsidRPr="00F504A9" w14:paraId="64EE9E0F" w14:textId="77777777" w:rsidTr="00292CD0">
        <w:trPr>
          <w:trHeight w:val="304"/>
        </w:trPr>
        <w:tc>
          <w:tcPr>
            <w:tcW w:w="3783" w:type="dxa"/>
          </w:tcPr>
          <w:p w14:paraId="2EF009D5" w14:textId="77777777" w:rsidR="00CA785E" w:rsidRPr="00F504A9" w:rsidRDefault="00CA785E" w:rsidP="00292CD0">
            <w:r>
              <w:t>Lapset yli 1 vuotta ja alle 50 kg</w:t>
            </w:r>
          </w:p>
        </w:tc>
        <w:tc>
          <w:tcPr>
            <w:tcW w:w="2611" w:type="dxa"/>
          </w:tcPr>
          <w:p w14:paraId="49B60546" w14:textId="77777777" w:rsidR="00CA785E" w:rsidRPr="00F504A9" w:rsidRDefault="00CA785E" w:rsidP="00292CD0">
            <w:r>
              <w:t>20 MBq</w:t>
            </w:r>
          </w:p>
        </w:tc>
        <w:tc>
          <w:tcPr>
            <w:tcW w:w="2297" w:type="dxa"/>
          </w:tcPr>
          <w:p w14:paraId="66F5208D" w14:textId="77777777" w:rsidR="00CA785E" w:rsidRPr="00F504A9" w:rsidRDefault="00CA785E" w:rsidP="00292CD0">
            <w:r>
              <w:t>37 MBq</w:t>
            </w:r>
          </w:p>
        </w:tc>
      </w:tr>
      <w:tr w:rsidR="00CA785E" w:rsidRPr="00F504A9" w14:paraId="7AA5FD84" w14:textId="77777777" w:rsidTr="00292CD0">
        <w:trPr>
          <w:trHeight w:val="304"/>
        </w:trPr>
        <w:tc>
          <w:tcPr>
            <w:tcW w:w="3783" w:type="dxa"/>
          </w:tcPr>
          <w:p w14:paraId="31328150" w14:textId="77777777" w:rsidR="00CA785E" w:rsidRPr="00F504A9" w:rsidRDefault="00CA785E" w:rsidP="00292CD0">
            <w:r>
              <w:t>Aikuiset ja lapset yli 50 kg</w:t>
            </w:r>
          </w:p>
        </w:tc>
        <w:tc>
          <w:tcPr>
            <w:tcW w:w="2611" w:type="dxa"/>
          </w:tcPr>
          <w:p w14:paraId="7997A80F" w14:textId="77777777" w:rsidR="00CA785E" w:rsidRPr="00F504A9" w:rsidRDefault="00CA785E" w:rsidP="00292CD0">
            <w:r>
              <w:t>37 MBq</w:t>
            </w:r>
          </w:p>
        </w:tc>
        <w:tc>
          <w:tcPr>
            <w:tcW w:w="2297" w:type="dxa"/>
          </w:tcPr>
          <w:p w14:paraId="4A174B06" w14:textId="77777777" w:rsidR="00CA785E" w:rsidRPr="00F504A9" w:rsidRDefault="00CA785E" w:rsidP="00292CD0">
            <w:r>
              <w:t>37 MBq</w:t>
            </w:r>
          </w:p>
        </w:tc>
      </w:tr>
    </w:tbl>
    <w:p w14:paraId="4CFBB713" w14:textId="77777777" w:rsidR="00CA785E" w:rsidRDefault="00CA785E" w:rsidP="00CA785E"/>
    <w:p w14:paraId="6FAB3322" w14:textId="77777777" w:rsidR="00CA785E" w:rsidRDefault="00CA785E" w:rsidP="00CA785E">
      <w:pPr>
        <w:numPr>
          <w:ilvl w:val="0"/>
          <w:numId w:val="20"/>
        </w:numPr>
        <w:ind w:left="1276" w:hanging="425"/>
      </w:pPr>
      <w:r w:rsidRPr="00504739">
        <w:t>Potilasan</w:t>
      </w:r>
      <w:r w:rsidRPr="00504739">
        <w:softHyphen/>
        <w:t>nokset ja standardi annostellaan</w:t>
      </w:r>
      <w:r>
        <w:t xml:space="preserve"> samalle klo. ajalle.</w:t>
      </w:r>
    </w:p>
    <w:p w14:paraId="15D59A63" w14:textId="77777777" w:rsidR="00CA785E" w:rsidRPr="004A38EB" w:rsidRDefault="00CA785E" w:rsidP="00CA785E">
      <w:pPr>
        <w:numPr>
          <w:ilvl w:val="0"/>
          <w:numId w:val="20"/>
        </w:numPr>
        <w:ind w:left="1276" w:hanging="425"/>
      </w:pPr>
      <w:r>
        <w:t>Jos kaksi potilasta ja pistoajat lähekkäin, käy sama standardi.</w:t>
      </w:r>
    </w:p>
    <w:p w14:paraId="3E908555" w14:textId="77777777" w:rsidR="00CA785E" w:rsidRPr="00504739" w:rsidRDefault="00CA785E" w:rsidP="00CA785E">
      <w:pPr>
        <w:ind w:left="851" w:hanging="851"/>
      </w:pPr>
    </w:p>
    <w:p w14:paraId="4957DEA7" w14:textId="77777777" w:rsidR="00CA785E" w:rsidRPr="00504739" w:rsidRDefault="00CA785E" w:rsidP="00CA785E">
      <w:pPr>
        <w:ind w:left="851" w:hanging="851"/>
      </w:pPr>
      <w:r w:rsidRPr="00504739">
        <w:t>POTILAAN ESIVALMISTELU</w:t>
      </w:r>
    </w:p>
    <w:p w14:paraId="4B057F2A" w14:textId="77777777" w:rsidR="00CA785E" w:rsidRDefault="00CA785E" w:rsidP="00CA785E">
      <w:pPr>
        <w:ind w:left="1702" w:hanging="851"/>
      </w:pPr>
      <w:r>
        <w:t>Ei esivalmisteluja.</w:t>
      </w:r>
      <w:r w:rsidRPr="00504739">
        <w:tab/>
      </w:r>
    </w:p>
    <w:p w14:paraId="2CEC4793" w14:textId="77777777" w:rsidR="00CA785E" w:rsidRPr="00504739" w:rsidRDefault="00CA785E" w:rsidP="00CA785E">
      <w:pPr>
        <w:ind w:left="851"/>
      </w:pPr>
      <w:proofErr w:type="spellStart"/>
      <w:r w:rsidRPr="00504739">
        <w:t>Periton</w:t>
      </w:r>
      <w:r>
        <w:t>e</w:t>
      </w:r>
      <w:r w:rsidRPr="00504739">
        <w:t>aalidialyysipotilaan</w:t>
      </w:r>
      <w:proofErr w:type="spellEnd"/>
      <w:r w:rsidRPr="00504739">
        <w:t xml:space="preserve"> </w:t>
      </w:r>
      <w:proofErr w:type="spellStart"/>
      <w:r w:rsidRPr="00504739">
        <w:t>periton</w:t>
      </w:r>
      <w:r>
        <w:t>e</w:t>
      </w:r>
      <w:r w:rsidRPr="00504739">
        <w:t>aalitilan</w:t>
      </w:r>
      <w:proofErr w:type="spellEnd"/>
      <w:r w:rsidRPr="00504739">
        <w:t xml:space="preserve"> on oltava tyhjä dialyysinesteestä koko GFR-tutkimuksen ajan.</w:t>
      </w:r>
    </w:p>
    <w:p w14:paraId="7F8299A8" w14:textId="77777777" w:rsidR="00CA785E" w:rsidRPr="00504739" w:rsidRDefault="00CA785E" w:rsidP="00CA785E">
      <w:pPr>
        <w:ind w:left="851" w:hanging="851"/>
      </w:pPr>
    </w:p>
    <w:p w14:paraId="504DB844" w14:textId="77777777" w:rsidR="00CA785E" w:rsidRDefault="00CA785E" w:rsidP="00CA785E">
      <w:pPr>
        <w:ind w:left="851" w:hanging="851"/>
      </w:pPr>
      <w:r w:rsidRPr="00504739">
        <w:t>RADIOLÄÄKKEEN ANTAMINEN</w:t>
      </w:r>
    </w:p>
    <w:p w14:paraId="50A2FAD1" w14:textId="77777777" w:rsidR="00CA785E" w:rsidRPr="00915C54" w:rsidRDefault="00CA785E" w:rsidP="00CA785E">
      <w:pPr>
        <w:ind w:left="851"/>
        <w:jc w:val="both"/>
      </w:pPr>
      <w:r>
        <w:t>Ennen radiolääkkeen antamista tulee varmistaa, onko potilaalle tehty lähiaikoina isot</w:t>
      </w:r>
      <w:r w:rsidRPr="00915C54">
        <w:t>ooppitutkimuksia, jotka voivat vaikuttaa tutkimustulok</w:t>
      </w:r>
      <w:r>
        <w:t>seen. Tarvittaessa</w:t>
      </w:r>
      <w:r w:rsidRPr="00915C54">
        <w:t xml:space="preserve"> otetaan</w:t>
      </w:r>
      <w:r>
        <w:t xml:space="preserve"> verinäyteputki</w:t>
      </w:r>
      <w:r w:rsidRPr="00915C54">
        <w:t xml:space="preserve"> (EDTA- tai </w:t>
      </w:r>
      <w:proofErr w:type="spellStart"/>
      <w:r w:rsidRPr="00915C54">
        <w:t>hepar</w:t>
      </w:r>
      <w:proofErr w:type="spellEnd"/>
      <w:r w:rsidRPr="00915C54">
        <w:t>-putki)</w:t>
      </w:r>
      <w:r>
        <w:t xml:space="preserve"> ns. </w:t>
      </w:r>
      <w:r w:rsidRPr="00915C54">
        <w:t>nollanäy</w:t>
      </w:r>
      <w:r>
        <w:t>tteeksi</w:t>
      </w:r>
      <w:r w:rsidRPr="00915C54">
        <w:t>.</w:t>
      </w:r>
    </w:p>
    <w:p w14:paraId="177D1645" w14:textId="77777777" w:rsidR="00CA785E" w:rsidRDefault="00CA785E" w:rsidP="00CA785E"/>
    <w:p w14:paraId="34CC0F96" w14:textId="77777777" w:rsidR="00CA785E" w:rsidRDefault="00CA785E" w:rsidP="00CA785E">
      <w:pPr>
        <w:ind w:left="851"/>
      </w:pPr>
      <w:proofErr w:type="spellStart"/>
      <w:r w:rsidRPr="00504739">
        <w:t>Injisoi</w:t>
      </w:r>
      <w:proofErr w:type="spellEnd"/>
      <w:r w:rsidRPr="00504739">
        <w:t xml:space="preserve"> radiolääke laskimonsisäisesti</w:t>
      </w:r>
      <w:r>
        <w:t xml:space="preserve"> käyttäen kolmitiehanaa ja fysiologista keittosuolaliuosta. Huuhtele radiolääke</w:t>
      </w:r>
      <w:r w:rsidRPr="00504739">
        <w:t xml:space="preserve">ruisku </w:t>
      </w:r>
      <w:r>
        <w:t xml:space="preserve">verenkiertoon </w:t>
      </w:r>
      <w:r w:rsidRPr="00504739">
        <w:t xml:space="preserve">vetämällä </w:t>
      </w:r>
      <w:r>
        <w:t xml:space="preserve">ruiskuun muutaman kerran </w:t>
      </w:r>
      <w:r w:rsidRPr="00504739">
        <w:t>fysiologista keittosuolaliuosta.</w:t>
      </w:r>
      <w:r>
        <w:t xml:space="preserve"> Suojaa tyhjä ruisku mukana olevalla neulalla (tai korkilla), koska siinä voi olla pieni määrä radioaktiivisuutta. Jäännösaktiivisuus mitataan.</w:t>
      </w:r>
      <w:r w:rsidRPr="00504739">
        <w:t xml:space="preserve"> </w:t>
      </w:r>
    </w:p>
    <w:p w14:paraId="137EC204" w14:textId="77777777" w:rsidR="00CA785E" w:rsidRDefault="00CA785E" w:rsidP="00CA785E">
      <w:pPr>
        <w:ind w:left="851"/>
      </w:pPr>
    </w:p>
    <w:p w14:paraId="00E5C2BD" w14:textId="77777777" w:rsidR="00CA785E" w:rsidRDefault="00CA785E" w:rsidP="00CA785E">
      <w:pPr>
        <w:ind w:left="851"/>
      </w:pPr>
      <w:r w:rsidRPr="00504739">
        <w:lastRenderedPageBreak/>
        <w:t xml:space="preserve">Mittaa </w:t>
      </w:r>
      <w:r>
        <w:t>potilas</w:t>
      </w:r>
      <w:r w:rsidRPr="00504739">
        <w:t>ruisk</w:t>
      </w:r>
      <w:r>
        <w:t>ujen ja standardin jäännösaktiivisuudet</w:t>
      </w:r>
      <w:r w:rsidRPr="00504739">
        <w:t xml:space="preserve"> annoskalibraattorilla </w:t>
      </w:r>
      <w:r>
        <w:t>samaan aikaan.</w:t>
      </w:r>
      <w:r w:rsidRPr="00504739">
        <w:t xml:space="preserve"> </w:t>
      </w:r>
      <w:r>
        <w:t xml:space="preserve">Vähennä </w:t>
      </w:r>
      <w:proofErr w:type="spellStart"/>
      <w:r>
        <w:t>annoskalibraattorin</w:t>
      </w:r>
      <w:proofErr w:type="spellEnd"/>
      <w:r>
        <w:t xml:space="preserve"> taustalukema kahden desimaalin tarkkuudella jäännösaktiivisuuslukemasta ja m</w:t>
      </w:r>
      <w:r w:rsidRPr="00504739">
        <w:t>erkitse aktiivisuu</w:t>
      </w:r>
      <w:r>
        <w:t>s</w:t>
      </w:r>
      <w:r w:rsidRPr="00504739">
        <w:t xml:space="preserve"> ylös</w:t>
      </w:r>
      <w:r>
        <w:t xml:space="preserve"> radiolääketarraan</w:t>
      </w:r>
      <w:r w:rsidRPr="00504739">
        <w:t>.</w:t>
      </w:r>
    </w:p>
    <w:p w14:paraId="096C7161" w14:textId="77777777" w:rsidR="00CA785E" w:rsidRDefault="00CA785E" w:rsidP="00CA785E">
      <w:pPr>
        <w:ind w:left="851"/>
      </w:pPr>
    </w:p>
    <w:p w14:paraId="204649DE" w14:textId="77777777" w:rsidR="00CA785E" w:rsidRDefault="00CA785E" w:rsidP="00CA785E">
      <w:pPr>
        <w:ind w:firstLine="851"/>
      </w:pPr>
      <w:r>
        <w:t xml:space="preserve">Mahdollinen radiolääkkeen </w:t>
      </w:r>
      <w:proofErr w:type="spellStart"/>
      <w:r>
        <w:t>extravasaatio</w:t>
      </w:r>
      <w:proofErr w:type="spellEnd"/>
      <w:r>
        <w:t xml:space="preserve"> mitätöi tutkimuksen suorituksen.</w:t>
      </w:r>
    </w:p>
    <w:p w14:paraId="438C8E65" w14:textId="77777777" w:rsidR="00CA785E" w:rsidRPr="00504739" w:rsidRDefault="00CA785E" w:rsidP="00CA785E">
      <w:pPr>
        <w:ind w:left="851" w:hanging="851"/>
      </w:pPr>
      <w:r w:rsidRPr="00504739">
        <w:t>TUTKIMUKSEN SUORITUS</w:t>
      </w:r>
    </w:p>
    <w:p w14:paraId="023F987E" w14:textId="77777777" w:rsidR="00CA785E" w:rsidRPr="005E139B" w:rsidRDefault="00CA785E" w:rsidP="00CA785E">
      <w:pPr>
        <w:pStyle w:val="Luettelokappale"/>
        <w:numPr>
          <w:ilvl w:val="0"/>
          <w:numId w:val="21"/>
        </w:numPr>
        <w:ind w:left="1276" w:hanging="425"/>
      </w:pPr>
      <w:r w:rsidRPr="005E139B">
        <w:t xml:space="preserve">Kirjaa potilaan pituus ja paino </w:t>
      </w:r>
      <w:proofErr w:type="spellStart"/>
      <w:r w:rsidRPr="005E139B">
        <w:t>neaRis:n</w:t>
      </w:r>
      <w:proofErr w:type="spellEnd"/>
      <w:r w:rsidRPr="005E139B">
        <w:t xml:space="preserve"> kuvaussivulle. Tiedot tarvitaan tutkimuksen tuloksen laskennassa.</w:t>
      </w:r>
    </w:p>
    <w:p w14:paraId="5CC9C2D5" w14:textId="77777777" w:rsidR="00CA785E" w:rsidRDefault="00CA785E" w:rsidP="00CA785E">
      <w:pPr>
        <w:ind w:left="1276" w:hanging="425"/>
      </w:pPr>
    </w:p>
    <w:p w14:paraId="434453E7" w14:textId="77777777" w:rsidR="00CA785E" w:rsidRPr="005E139B" w:rsidRDefault="00CA785E" w:rsidP="00CA785E">
      <w:pPr>
        <w:pStyle w:val="Luettelokappale"/>
        <w:numPr>
          <w:ilvl w:val="0"/>
          <w:numId w:val="21"/>
        </w:numPr>
        <w:ind w:left="1276" w:hanging="425"/>
      </w:pPr>
      <w:r w:rsidRPr="005E139B">
        <w:t xml:space="preserve">Radiolääkeinjektion jälkeen ennen verinäytteen ottoa ja näytteiden ottamisten välillä potilaan tulee juoda hyvän nestetasapainon ylläpitämiseksi. Tutkimuksen aikana saa myös syödä. </w:t>
      </w:r>
    </w:p>
    <w:p w14:paraId="2F538C53" w14:textId="77777777" w:rsidR="00CA785E" w:rsidRDefault="00CA785E" w:rsidP="00CA785E">
      <w:pPr>
        <w:ind w:left="1276" w:hanging="425"/>
      </w:pPr>
    </w:p>
    <w:p w14:paraId="333B29F7" w14:textId="7823DEAD" w:rsidR="00CA785E" w:rsidRPr="005E139B" w:rsidRDefault="00CA785E" w:rsidP="00CA785E">
      <w:pPr>
        <w:pStyle w:val="Luettelokappale"/>
        <w:numPr>
          <w:ilvl w:val="0"/>
          <w:numId w:val="21"/>
        </w:numPr>
        <w:ind w:left="1276" w:hanging="425"/>
      </w:pPr>
      <w:r w:rsidRPr="005E139B">
        <w:t xml:space="preserve">Verinäytteet otetaan noin 2, 3 ja 4 tunnin kuluttua </w:t>
      </w:r>
      <w:r w:rsidRPr="005E139B">
        <w:rPr>
          <w:color w:val="000000"/>
        </w:rPr>
        <w:t>radiolääkeinjektiosta</w:t>
      </w:r>
      <w:r w:rsidRPr="005E139B">
        <w:t xml:space="preserve"> EDTA K2E 5/4 ml - tai Li-hepariini verinäyteputkeen. </w:t>
      </w:r>
      <w:r w:rsidRPr="005E139B">
        <w:rPr>
          <w:b/>
        </w:rPr>
        <w:t xml:space="preserve">Näytteet otetaan eri raajasta mihin radiolääke on </w:t>
      </w:r>
      <w:proofErr w:type="spellStart"/>
      <w:r w:rsidRPr="005E139B">
        <w:rPr>
          <w:b/>
        </w:rPr>
        <w:t>injisoitu</w:t>
      </w:r>
      <w:proofErr w:type="spellEnd"/>
      <w:r w:rsidRPr="005E139B">
        <w:t xml:space="preserve">. Tarvittaessa näytteet voidaan ottaa injektiokäden kädenselästä, jos radiolääke on </w:t>
      </w:r>
      <w:proofErr w:type="spellStart"/>
      <w:r w:rsidRPr="005E139B">
        <w:t>injisoitu</w:t>
      </w:r>
      <w:proofErr w:type="spellEnd"/>
      <w:r w:rsidRPr="005E139B">
        <w:t xml:space="preserve"> kyynärtaipeeseen. </w:t>
      </w:r>
    </w:p>
    <w:p w14:paraId="7FC5AC16" w14:textId="77777777" w:rsidR="00CA785E" w:rsidRPr="005E139B" w:rsidRDefault="00CA785E" w:rsidP="00CA785E">
      <w:pPr>
        <w:pStyle w:val="Luettelokappale"/>
        <w:numPr>
          <w:ilvl w:val="0"/>
          <w:numId w:val="21"/>
        </w:numPr>
        <w:ind w:left="1276" w:hanging="425"/>
      </w:pPr>
      <w:r w:rsidRPr="005E139B">
        <w:t>Tarkka näytteenottoaika merkitään putken kylkeen. Radiolääkkeen annossa ja näytteenotoissa käytetään samaa kelloa.</w:t>
      </w:r>
    </w:p>
    <w:p w14:paraId="5D67D382" w14:textId="477812C1" w:rsidR="00CA785E" w:rsidRPr="005E139B" w:rsidRDefault="00CA785E" w:rsidP="00CA785E">
      <w:pPr>
        <w:pStyle w:val="Luettelokappale"/>
        <w:numPr>
          <w:ilvl w:val="0"/>
          <w:numId w:val="21"/>
        </w:numPr>
        <w:ind w:left="1276" w:hanging="425"/>
      </w:pPr>
      <w:r w:rsidRPr="005E139B">
        <w:t xml:space="preserve">Jos näytteet otetaan kanyylia ja </w:t>
      </w:r>
      <w:proofErr w:type="spellStart"/>
      <w:r w:rsidRPr="005E139B">
        <w:t>luer</w:t>
      </w:r>
      <w:proofErr w:type="spellEnd"/>
      <w:r w:rsidRPr="005E139B">
        <w:t xml:space="preserve"> </w:t>
      </w:r>
      <w:proofErr w:type="spellStart"/>
      <w:r w:rsidRPr="005E139B">
        <w:t>lock</w:t>
      </w:r>
      <w:proofErr w:type="spellEnd"/>
      <w:r w:rsidRPr="005E139B">
        <w:t xml:space="preserve"> -liitosta käyttäen, huuhdotaan kanyyli näytteenoton jälkeen fysiologisella keittosuolalla. Ennen näytteenottoa otetaan verta </w:t>
      </w:r>
      <w:r w:rsidRPr="005E139B">
        <w:t>4–5</w:t>
      </w:r>
      <w:r w:rsidRPr="005E139B">
        <w:t xml:space="preserve"> ml hukkaan, jonka jälkeen otetaan näyte. </w:t>
      </w:r>
    </w:p>
    <w:p w14:paraId="732A0474" w14:textId="77777777" w:rsidR="00CA785E" w:rsidRDefault="00CA785E" w:rsidP="00CA785E">
      <w:pPr>
        <w:ind w:left="1276" w:hanging="425"/>
      </w:pPr>
    </w:p>
    <w:p w14:paraId="2DF9DB5D" w14:textId="77777777" w:rsidR="00CA785E" w:rsidRPr="005E139B" w:rsidRDefault="00CA785E" w:rsidP="00CA785E">
      <w:pPr>
        <w:pStyle w:val="Luettelokappale"/>
        <w:numPr>
          <w:ilvl w:val="0"/>
          <w:numId w:val="21"/>
        </w:numPr>
        <w:ind w:left="1276" w:hanging="425"/>
      </w:pPr>
      <w:r w:rsidRPr="005E139B">
        <w:t>Tutkimus kestää 4,5 tuntia.</w:t>
      </w:r>
    </w:p>
    <w:p w14:paraId="65615720" w14:textId="77777777" w:rsidR="00CA785E" w:rsidRPr="00504739" w:rsidRDefault="00CA785E" w:rsidP="00CA785E">
      <w:pPr>
        <w:ind w:left="1276" w:hanging="425"/>
      </w:pPr>
    </w:p>
    <w:p w14:paraId="62584662" w14:textId="77777777" w:rsidR="00CA785E" w:rsidRPr="005E139B" w:rsidRDefault="00CA785E" w:rsidP="00CA785E">
      <w:pPr>
        <w:pStyle w:val="Luettelokappale"/>
        <w:numPr>
          <w:ilvl w:val="0"/>
          <w:numId w:val="21"/>
        </w:numPr>
        <w:ind w:left="1276" w:hanging="425"/>
      </w:pPr>
      <w:r w:rsidRPr="005E139B">
        <w:t xml:space="preserve">Näytteistä erotetaan sentrifugoimalla plasma, joista mitataan radioaktiivisuus gammamittauslaitteella. Mittaustulosten avulla lasketaan </w:t>
      </w:r>
      <w:proofErr w:type="spellStart"/>
      <w:r w:rsidRPr="005E139B">
        <w:t>glomerulusfiltraatio</w:t>
      </w:r>
      <w:proofErr w:type="spellEnd"/>
      <w:r w:rsidRPr="005E139B">
        <w:t xml:space="preserve"> (GFR). Tulostus ja lausunnon anto kestävät vuorokauden.</w:t>
      </w:r>
    </w:p>
    <w:p w14:paraId="6F90FCAF" w14:textId="77777777" w:rsidR="00CA785E" w:rsidRDefault="00CA785E" w:rsidP="00CA785E"/>
    <w:p w14:paraId="283AB2AC" w14:textId="77777777" w:rsidR="00CA785E" w:rsidRPr="00504739" w:rsidRDefault="00CA785E" w:rsidP="00CA785E">
      <w:pPr>
        <w:ind w:left="851" w:hanging="851"/>
      </w:pPr>
      <w:r w:rsidRPr="00504739">
        <w:t>LAITTEET</w:t>
      </w:r>
    </w:p>
    <w:p w14:paraId="6EE535F1" w14:textId="77777777" w:rsidR="00CA785E" w:rsidRDefault="00CA785E" w:rsidP="00CA785E">
      <w:pPr>
        <w:ind w:left="851"/>
      </w:pPr>
      <w:r>
        <w:t>Sentrifugi ALC PK 120</w:t>
      </w:r>
    </w:p>
    <w:p w14:paraId="6A534700" w14:textId="77777777" w:rsidR="00CA785E" w:rsidRPr="00504739" w:rsidRDefault="00CA785E" w:rsidP="00CA785E">
      <w:pPr>
        <w:ind w:left="851"/>
      </w:pPr>
      <w:r>
        <w:t xml:space="preserve">Gammamittauslaite 2480 </w:t>
      </w:r>
      <w:proofErr w:type="spellStart"/>
      <w:r>
        <w:t>Wizard</w:t>
      </w:r>
      <w:proofErr w:type="spellEnd"/>
      <w:r>
        <w:t>® (Perkin Elmer)</w:t>
      </w:r>
    </w:p>
    <w:p w14:paraId="17D7ACEF" w14:textId="77777777" w:rsidR="00CA785E" w:rsidRDefault="00CA785E" w:rsidP="00CA785E">
      <w:pPr>
        <w:ind w:left="851" w:hanging="851"/>
      </w:pPr>
    </w:p>
    <w:p w14:paraId="48120FCF" w14:textId="77777777" w:rsidR="00CA785E" w:rsidRPr="00504739" w:rsidRDefault="00CA785E" w:rsidP="00CA785E">
      <w:pPr>
        <w:ind w:left="851" w:hanging="851"/>
      </w:pPr>
      <w:r w:rsidRPr="00504739">
        <w:t>TULOS</w:t>
      </w:r>
    </w:p>
    <w:p w14:paraId="77F560DF" w14:textId="77777777" w:rsidR="00CA785E" w:rsidRPr="00504739" w:rsidRDefault="00CA785E" w:rsidP="00CA785E">
      <w:pPr>
        <w:ind w:left="851"/>
      </w:pPr>
      <w:r w:rsidRPr="00504739">
        <w:t>Mittaustulos ml/min/1,73 m</w:t>
      </w:r>
      <w:r w:rsidRPr="00504739">
        <w:rPr>
          <w:vertAlign w:val="superscript"/>
        </w:rPr>
        <w:t>2</w:t>
      </w:r>
      <w:r w:rsidRPr="00504739">
        <w:t>.</w:t>
      </w:r>
    </w:p>
    <w:p w14:paraId="1B9241B3" w14:textId="77777777" w:rsidR="00CA785E" w:rsidRPr="00504739" w:rsidRDefault="00CA785E" w:rsidP="00CA785E">
      <w:pPr>
        <w:ind w:left="851"/>
      </w:pPr>
      <w:r w:rsidRPr="00504739">
        <w:t>Tutkimuksesta annetaan lausunto.</w:t>
      </w:r>
    </w:p>
    <w:p w14:paraId="54EF3F13" w14:textId="77777777" w:rsidR="00CA785E" w:rsidRPr="00504739" w:rsidRDefault="00CA785E" w:rsidP="00CA785E">
      <w:pPr>
        <w:ind w:left="851"/>
      </w:pPr>
    </w:p>
    <w:p w14:paraId="7953ADF1" w14:textId="77777777" w:rsidR="00CA785E" w:rsidRPr="00504739" w:rsidRDefault="00CA785E" w:rsidP="00CA785E">
      <w:pPr>
        <w:ind w:left="851" w:hanging="851"/>
      </w:pPr>
      <w:r w:rsidRPr="00504739">
        <w:t>VIITEVÄLI</w:t>
      </w:r>
    </w:p>
    <w:p w14:paraId="1A44E1ED" w14:textId="2D3A1075" w:rsidR="00CA785E" w:rsidRPr="00504739" w:rsidRDefault="00CA785E" w:rsidP="00CA785E">
      <w:pPr>
        <w:ind w:left="851" w:hanging="851"/>
      </w:pPr>
      <w:r w:rsidRPr="00504739">
        <w:tab/>
      </w:r>
      <w:r>
        <w:t>Nuorten a</w:t>
      </w:r>
      <w:r w:rsidRPr="00504739">
        <w:t>ikuis</w:t>
      </w:r>
      <w:r>
        <w:t>ten (</w:t>
      </w:r>
      <w:r>
        <w:t>20–50</w:t>
      </w:r>
      <w:r>
        <w:t xml:space="preserve"> v) viitearvo 80 -</w:t>
      </w:r>
      <w:r w:rsidRPr="00504739">
        <w:t>1</w:t>
      </w:r>
      <w:r>
        <w:t>60</w:t>
      </w:r>
      <w:r w:rsidRPr="00504739">
        <w:t xml:space="preserve"> ml/min/1,73 m</w:t>
      </w:r>
      <w:r w:rsidRPr="00504739">
        <w:rPr>
          <w:vertAlign w:val="superscript"/>
        </w:rPr>
        <w:t>2</w:t>
      </w:r>
      <w:r w:rsidRPr="00504739">
        <w:t>.</w:t>
      </w:r>
    </w:p>
    <w:p w14:paraId="5F9BFFD0" w14:textId="77777777" w:rsidR="00CA785E" w:rsidRPr="00504739" w:rsidRDefault="00CA785E" w:rsidP="00CA785E">
      <w:pPr>
        <w:ind w:left="851" w:hanging="851"/>
      </w:pPr>
      <w:r w:rsidRPr="00504739">
        <w:tab/>
      </w:r>
    </w:p>
    <w:p w14:paraId="7EB1A9AC" w14:textId="77777777" w:rsidR="00CA785E" w:rsidRPr="00504739" w:rsidRDefault="00CA785E" w:rsidP="00CA785E">
      <w:pPr>
        <w:ind w:left="851" w:hanging="851"/>
      </w:pPr>
      <w:r w:rsidRPr="00504739">
        <w:t>HUOMAUTUKSET</w:t>
      </w:r>
    </w:p>
    <w:p w14:paraId="00C726E5" w14:textId="77777777" w:rsidR="00CA785E" w:rsidRPr="00947C90" w:rsidRDefault="00CA785E" w:rsidP="00CA785E">
      <w:pPr>
        <w:numPr>
          <w:ilvl w:val="0"/>
          <w:numId w:val="19"/>
        </w:numPr>
        <w:tabs>
          <w:tab w:val="clear" w:pos="360"/>
          <w:tab w:val="num" w:pos="643"/>
        </w:tabs>
        <w:ind w:left="1276" w:hanging="425"/>
      </w:pPr>
      <w:r w:rsidRPr="00947C90">
        <w:t xml:space="preserve">Ei imetystaukoa (ICRP 128), ks. Isotooppitutkimuksiin liittyviä yleisohjeita: </w:t>
      </w:r>
      <w:hyperlink r:id="rId12" w:history="1">
        <w:r w:rsidRPr="00947C90">
          <w:rPr>
            <w:rStyle w:val="Hyperlinkki"/>
            <w:rFonts w:eastAsiaTheme="majorEastAsia"/>
          </w:rPr>
          <w:t>Syntymät</w:t>
        </w:r>
        <w:r w:rsidRPr="00947C90">
          <w:rPr>
            <w:rStyle w:val="Hyperlinkki"/>
            <w:rFonts w:eastAsiaTheme="majorEastAsia"/>
          </w:rPr>
          <w:softHyphen/>
          <w:t xml:space="preserve">tömien ja vastasyntyneiden lasten suojeleminen vanhempien altistuessa säteilylle isotooppitutkimusten tai -hoitojen yhteydessä: Imettävät naiset. </w:t>
        </w:r>
      </w:hyperlink>
    </w:p>
    <w:p w14:paraId="79E6CBD7" w14:textId="3C6A291E" w:rsidR="00AA2438" w:rsidRPr="00F53A45" w:rsidRDefault="00AA2438" w:rsidP="00F53A45"/>
    <w:sectPr w:rsidR="00AA2438" w:rsidRPr="00F53A45" w:rsidSect="007E15E5">
      <w:headerReference w:type="default" r:id="rId13"/>
      <w:footerReference w:type="default" r:id="rId14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90CCD98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047E91DC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Salla-Maarit Kokkonen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047E91DC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2103BA">
                      <w:rPr>
                        <w:sz w:val="18"/>
                        <w:szCs w:val="18"/>
                      </w:rPr>
                      <w:t>Salla-Maarit Kokkonen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3F464BF4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Aira Karjalainen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3F464BF4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2103BA">
                      <w:rPr>
                        <w:sz w:val="18"/>
                        <w:szCs w:val="18"/>
                      </w:rPr>
                      <w:t>Aira Karjalainen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4FAA">
          <w:rPr>
            <w:sz w:val="16"/>
            <w:szCs w:val="16"/>
          </w:rPr>
          <w:t xml:space="preserve">     </w:t>
        </w:r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3-1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2ACF2C63" w:rsidR="000631E7" w:rsidRPr="004E7FC1" w:rsidRDefault="00CA785E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12.3.2024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A04456"/>
    <w:multiLevelType w:val="singleLevel"/>
    <w:tmpl w:val="80E683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2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C06572"/>
    <w:multiLevelType w:val="singleLevel"/>
    <w:tmpl w:val="1DC6753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16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FE7393"/>
    <w:multiLevelType w:val="hybridMultilevel"/>
    <w:tmpl w:val="1AAECDD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1"/>
  </w:num>
  <w:num w:numId="3" w16cid:durableId="1214081591">
    <w:abstractNumId w:val="1"/>
  </w:num>
  <w:num w:numId="4" w16cid:durableId="334958258">
    <w:abstractNumId w:val="18"/>
  </w:num>
  <w:num w:numId="5" w16cid:durableId="1641032995">
    <w:abstractNumId w:val="0"/>
  </w:num>
  <w:num w:numId="6" w16cid:durableId="2063944667">
    <w:abstractNumId w:val="8"/>
  </w:num>
  <w:num w:numId="7" w16cid:durableId="1862237714">
    <w:abstractNumId w:val="13"/>
  </w:num>
  <w:num w:numId="8" w16cid:durableId="1754813634">
    <w:abstractNumId w:val="13"/>
  </w:num>
  <w:num w:numId="9" w16cid:durableId="1606114846">
    <w:abstractNumId w:val="13"/>
  </w:num>
  <w:num w:numId="10" w16cid:durableId="1477645058">
    <w:abstractNumId w:val="3"/>
  </w:num>
  <w:num w:numId="11" w16cid:durableId="841121598">
    <w:abstractNumId w:val="16"/>
  </w:num>
  <w:num w:numId="12" w16cid:durableId="225991095">
    <w:abstractNumId w:val="9"/>
  </w:num>
  <w:num w:numId="13" w16cid:durableId="70978191">
    <w:abstractNumId w:val="5"/>
  </w:num>
  <w:num w:numId="14" w16cid:durableId="240528770">
    <w:abstractNumId w:val="12"/>
  </w:num>
  <w:num w:numId="15" w16cid:durableId="452208856">
    <w:abstractNumId w:val="14"/>
  </w:num>
  <w:num w:numId="16" w16cid:durableId="1796949018">
    <w:abstractNumId w:val="7"/>
  </w:num>
  <w:num w:numId="17" w16cid:durableId="627246728">
    <w:abstractNumId w:val="4"/>
  </w:num>
  <w:num w:numId="18" w16cid:durableId="1203321292">
    <w:abstractNumId w:val="10"/>
  </w:num>
  <w:num w:numId="19" w16cid:durableId="1223981280">
    <w:abstractNumId w:val="15"/>
  </w:num>
  <w:num w:numId="20" w16cid:durableId="2031445352">
    <w:abstractNumId w:val="6"/>
  </w:num>
  <w:num w:numId="21" w16cid:durableId="4100800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103BA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A785E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_layouts/15/WopiFrame.aspx?sourcedoc=%7beae31f1e-88d6-46ce-9ab4-7882f83ad453%7d&amp;action=default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18</Value>
      <Value>980</Value>
      <Value>1313</Value>
      <Value>978</Value>
      <Value>2133</Value>
      <Value>821</Value>
      <Value>650</Value>
      <Value>530</Value>
      <Value>528</Value>
      <Value>1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Vartalo</TermName>
          <TermId xmlns="http://schemas.microsoft.com/office/infopath/2007/PartnerControls">3b19d0f0-710a-4133-b766-da4d9ae00ed9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i:0#.w|oysnet\kokkonsm</DisplayName>
        <AccountId>366</AccountId>
        <AccountType/>
      </UserInfo>
      <UserInfo>
        <DisplayName>i:0#.w|oysnet\manninal</DisplayName>
        <AccountId>370</AccountId>
        <AccountType/>
      </UserInfo>
      <UserInfo>
        <DisplayName>i:0#.w|oysnet\karjalab</DisplayName>
        <AccountId>363</AccountId>
        <AccountType/>
      </UserInfo>
      <UserInfo>
        <DisplayName>i:0#.w|oysnet\vaananmi</DisplayName>
        <AccountId>1512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5.3.3.1 tutkimusprosessien ohjeiden hallinta</TermName>
          <TermId xmlns="http://schemas.microsoft.com/office/infopath/2007/PartnerControls">993fb09c-f942-4c12-b26c-c95fda253786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i:0#.w|oysnet\kokkonsm</DisplayName>
        <AccountId>366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Projektio-/ tutkimusohjeet</TermName>
          <TermId xmlns="http://schemas.microsoft.com/office/infopath/2007/PartnerControls">00f9cfd7-e55b-40e2-b514-2b376e6bcb08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MUAVRSSTWASF-628417917-642</_dlc_DocId>
    <_dlc_DocIdUrl xmlns="d3e50268-7799-48af-83c3-9a9b063078bc">
      <Url>https://internet.oysnet.ppshp.fi/dokumentit/_layouts/15/DocIdRedir.aspx?ID=MUAVRSSTWASF-628417917-642</Url>
      <Description>MUAVRSSTWASF-628417917-642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6854-1A62-4433-80B6-D2AC55445EE6}"/>
</file>

<file path=customXml/itemProps5.xml><?xml version="1.0" encoding="utf-8"?>
<ds:datastoreItem xmlns:ds="http://schemas.openxmlformats.org/officeDocument/2006/customXml" ds:itemID="{5D3BAAF0-1B41-4EBF-8C6C-2693B26AF3AA}"/>
</file>

<file path=customXml/itemProps6.xml><?xml version="1.0" encoding="utf-8"?>
<ds:datastoreItem xmlns:ds="http://schemas.openxmlformats.org/officeDocument/2006/customXml" ds:itemID="{139B4998-85E1-463C-8B66-A76A9A878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Glomerulusten suodatusnopeuden mittaus, DTPA oys kuv men</dc:title>
  <dc:subject/>
  <dc:creator/>
  <cp:keywords/>
  <dc:description/>
  <cp:lastModifiedBy/>
  <cp:revision>1</cp:revision>
  <dcterms:created xsi:type="dcterms:W3CDTF">2024-03-12T09:53:00Z</dcterms:created>
  <dcterms:modified xsi:type="dcterms:W3CDTF">2024-03-12T09:53:00Z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978;#Projektio-/ tutkimusohjeet|00f9cfd7-e55b-40e2-b514-2b376e6bcb08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Kohdeorganisaatio">
    <vt:lpwstr>1;#Pohjois-Pohjanmaan sairaanhoitopiiri|be8cbbf1-c5fa-44e0-8d6c-f88ba4a3bcc6</vt:lpwstr>
  </property>
  <property fmtid="{D5CDD505-2E9C-101B-9397-08002B2CF9AE}" pid="18" name="_dlc_DocIdItemGuid">
    <vt:lpwstr>6d2c260f-bcd2-4d78-9f47-05d2226ce00d</vt:lpwstr>
  </property>
  <property fmtid="{D5CDD505-2E9C-101B-9397-08002B2CF9AE}" pid="19" name="Kuvantamisen ohjeen elinryhmät (sisältötyypin metatieto)">
    <vt:lpwstr>980;#Vartalo|3b19d0f0-710a-4133-b766-da4d9ae00ed9</vt:lpwstr>
  </property>
  <property fmtid="{D5CDD505-2E9C-101B-9397-08002B2CF9AE}" pid="20" name="Erikoisala">
    <vt:lpwstr>528;#kliininen fysiologia ja isotooppilääketiede (PPSHP)|10be52ec-d72f-4414-83a0-e978b3b2251e</vt:lpwstr>
  </property>
  <property fmtid="{D5CDD505-2E9C-101B-9397-08002B2CF9AE}" pid="21" name="Organisaatiotiedon tarkennus toiminnan mukaan">
    <vt:lpwstr/>
  </property>
  <property fmtid="{D5CDD505-2E9C-101B-9397-08002B2CF9AE}" pid="22" name="Toiminnanohjauskäsikirja">
    <vt:lpwstr>2133;#5.3.3.1 tutkimusprosessien ohjeiden hallinta|993fb09c-f942-4c12-b26c-c95fda253786</vt:lpwstr>
  </property>
  <property fmtid="{D5CDD505-2E9C-101B-9397-08002B2CF9AE}" pid="23" name="Kuvantamisen ohjeen tutkimusryhmät (sisältötyypin metatieto)">
    <vt:lpwstr>650;#Isotooppi|34089549-f79f-4d4d-844a-676cbbb5d2e1</vt:lpwstr>
  </property>
  <property fmtid="{D5CDD505-2E9C-101B-9397-08002B2CF9AE}" pid="24" name="Organisaatiotieto">
    <vt:lpwstr>530;#F-röntgen|7a8b252b-5427-4881-bb54-12bb230821fb</vt:lpwstr>
  </property>
  <property fmtid="{D5CDD505-2E9C-101B-9397-08002B2CF9AE}" pid="25" name="Kuvantamisen tilaaja vai menetelmä">
    <vt:lpwstr>1313;#Menetelmäohje|8d7551ed-f25f-4658-af35-e281bf9731e8</vt:lpwstr>
  </property>
  <property fmtid="{D5CDD505-2E9C-101B-9397-08002B2CF9AE}" pid="26" name="Toimenpidekoodit">
    <vt:lpwstr/>
  </property>
  <property fmtid="{D5CDD505-2E9C-101B-9397-08002B2CF9AE}" pid="27" name="Kohde- / työntekijäryhmä">
    <vt:lpwstr>18;#PPSHP:n henkilöstö|7a49a948-31e0-4b0f-83ed-c01fa56f5934</vt:lpwstr>
  </property>
  <property fmtid="{D5CDD505-2E9C-101B-9397-08002B2CF9AE}" pid="28" name="Kriisiviestintä">
    <vt:lpwstr/>
  </property>
  <property fmtid="{D5CDD505-2E9C-101B-9397-08002B2CF9AE}" pid="29" name="MEO">
    <vt:lpwstr/>
  </property>
  <property fmtid="{D5CDD505-2E9C-101B-9397-08002B2CF9AE}" pid="31" name="TaxKeywordTaxHTField">
    <vt:lpwstr/>
  </property>
  <property fmtid="{D5CDD505-2E9C-101B-9397-08002B2CF9AE}" pid="32" name="Order">
    <vt:r8>974200</vt:r8>
  </property>
  <property fmtid="{D5CDD505-2E9C-101B-9397-08002B2CF9AE}" pid="33" name="SharedWithUsers">
    <vt:lpwstr/>
  </property>
</Properties>
</file>